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основы профилактики экстремизма и зависимых форм поведения в молодежной среде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профилактики экстремизма и зависимых форм поведения в молодежной среде»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«Правовые основы профилактики экстремизма и зависимых форм поведения в молодежной среде».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основы профилактики экстремизма и зависимых форм поведения в молодежной среде»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351.3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правовыми актами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«Правовые основы профилактики экстремизма и зависимых форм поведения в молодежной среде»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77.83"/>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169.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История образования и</w:t>
            </w:r>
          </w:p>
          <w:p>
            <w:pPr>
              <w:jc w:val="center"/>
              <w:spacing w:after="0" w:line="240" w:lineRule="auto"/>
              <w:rPr>
                <w:sz w:val="22"/>
                <w:szCs w:val="22"/>
              </w:rPr>
            </w:pPr>
            <w:r>
              <w:rPr>
                <w:rFonts w:ascii="Times New Roman" w:hAnsi="Times New Roman" w:cs="Times New Roman"/>
                <w:color w:val="#000000"/>
                <w:sz w:val="22"/>
                <w:szCs w:val="22"/>
              </w:rPr>
              <w:t>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Социальные основы профилактики экстремизма и зависимых форм поведения в молодежной среде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на дороге и в общественном транспорте</w:t>
            </w:r>
          </w:p>
          <w:p>
            <w:pPr>
              <w:jc w:val="center"/>
              <w:spacing w:after="0" w:line="240" w:lineRule="auto"/>
              <w:rPr>
                <w:sz w:val="22"/>
                <w:szCs w:val="22"/>
              </w:rPr>
            </w:pPr>
            <w:r>
              <w:rPr>
                <w:rFonts w:ascii="Times New Roman" w:hAnsi="Times New Roman" w:cs="Times New Roman"/>
                <w:color w:val="#000000"/>
                <w:sz w:val="22"/>
                <w:szCs w:val="22"/>
              </w:rPr>
              <w:t> Опасные ситуации природного и техногенного характера и защита от них</w:t>
            </w:r>
          </w:p>
          <w:p>
            <w:pPr>
              <w:jc w:val="center"/>
              <w:spacing w:after="0" w:line="240" w:lineRule="auto"/>
              <w:rPr>
                <w:sz w:val="22"/>
                <w:szCs w:val="22"/>
              </w:rPr>
            </w:pPr>
            <w:r>
              <w:rPr>
                <w:rFonts w:ascii="Times New Roman" w:hAnsi="Times New Roman" w:cs="Times New Roman"/>
                <w:color w:val="#000000"/>
                <w:sz w:val="22"/>
                <w:szCs w:val="22"/>
              </w:rPr>
              <w:t> Органы обеспечения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Основы микробиологии и инфекционная безопасность</w:t>
            </w:r>
          </w:p>
          <w:p>
            <w:pPr>
              <w:jc w:val="center"/>
              <w:spacing w:after="0" w:line="240" w:lineRule="auto"/>
              <w:rPr>
                <w:sz w:val="22"/>
                <w:szCs w:val="22"/>
              </w:rPr>
            </w:pPr>
            <w:r>
              <w:rPr>
                <w:rFonts w:ascii="Times New Roman" w:hAnsi="Times New Roman" w:cs="Times New Roman"/>
                <w:color w:val="#000000"/>
                <w:sz w:val="22"/>
                <w:szCs w:val="22"/>
              </w:rPr>
              <w:t> Основы предметно-профильной подготовки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поведения людей в чрезвычайных ситуациях</w:t>
            </w:r>
          </w:p>
          <w:p>
            <w:pPr>
              <w:jc w:val="center"/>
              <w:spacing w:after="0" w:line="240" w:lineRule="auto"/>
              <w:rPr>
                <w:sz w:val="22"/>
                <w:szCs w:val="22"/>
              </w:rPr>
            </w:pPr>
            <w:r>
              <w:rPr>
                <w:rFonts w:ascii="Times New Roman" w:hAnsi="Times New Roman" w:cs="Times New Roman"/>
                <w:color w:val="#000000"/>
                <w:sz w:val="22"/>
                <w:szCs w:val="22"/>
              </w:rPr>
              <w:t> Технологии современного образования по профилю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(формируемая по профилю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по профилю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Обеспечение безопасности образовательного учреждения</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Экологическая безопасность</w:t>
            </w:r>
          </w:p>
          <w:p>
            <w:pPr>
              <w:jc w:val="center"/>
              <w:spacing w:after="0" w:line="240" w:lineRule="auto"/>
              <w:rPr>
                <w:sz w:val="22"/>
                <w:szCs w:val="22"/>
              </w:rPr>
            </w:pPr>
            <w:r>
              <w:rPr>
                <w:rFonts w:ascii="Times New Roman" w:hAnsi="Times New Roman" w:cs="Times New Roman"/>
                <w:color w:val="#000000"/>
                <w:sz w:val="22"/>
                <w:szCs w:val="22"/>
              </w:rPr>
              <w:t> Экономика знаний</w:t>
            </w:r>
          </w:p>
          <w:p>
            <w:pPr>
              <w:jc w:val="center"/>
              <w:spacing w:after="0" w:line="240" w:lineRule="auto"/>
              <w:rPr>
                <w:sz w:val="22"/>
                <w:szCs w:val="22"/>
              </w:rPr>
            </w:pPr>
            <w:r>
              <w:rPr>
                <w:rFonts w:ascii="Times New Roman" w:hAnsi="Times New Roman" w:cs="Times New Roman"/>
                <w:color w:val="#000000"/>
                <w:sz w:val="22"/>
                <w:szCs w:val="22"/>
              </w:rPr>
              <w:t> Безопасность на водоемах</w:t>
            </w:r>
          </w:p>
          <w:p>
            <w:pPr>
              <w:jc w:val="center"/>
              <w:spacing w:after="0" w:line="240" w:lineRule="auto"/>
              <w:rPr>
                <w:sz w:val="22"/>
                <w:szCs w:val="22"/>
              </w:rPr>
            </w:pPr>
            <w:r>
              <w:rPr>
                <w:rFonts w:ascii="Times New Roman" w:hAnsi="Times New Roman" w:cs="Times New Roman"/>
                <w:color w:val="#000000"/>
                <w:sz w:val="22"/>
                <w:szCs w:val="22"/>
              </w:rPr>
              <w:t> Использование электронных образовательных ресурсов в рамках учебного предмета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Опасные ситуации социального характера и защита от них</w:t>
            </w:r>
          </w:p>
          <w:p>
            <w:pPr>
              <w:jc w:val="center"/>
              <w:spacing w:after="0" w:line="240" w:lineRule="auto"/>
              <w:rPr>
                <w:sz w:val="22"/>
                <w:szCs w:val="22"/>
              </w:rPr>
            </w:pPr>
            <w:r>
              <w:rPr>
                <w:rFonts w:ascii="Times New Roman" w:hAnsi="Times New Roman" w:cs="Times New Roman"/>
                <w:color w:val="#000000"/>
                <w:sz w:val="22"/>
                <w:szCs w:val="22"/>
              </w:rPr>
              <w:t> Педагогическая конфликтология</w:t>
            </w:r>
          </w:p>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Техногенные опасности и защита от них</w:t>
            </w:r>
          </w:p>
          <w:p>
            <w:pPr>
              <w:jc w:val="center"/>
              <w:spacing w:after="0" w:line="240" w:lineRule="auto"/>
              <w:rPr>
                <w:sz w:val="22"/>
                <w:szCs w:val="22"/>
              </w:rPr>
            </w:pPr>
            <w:r>
              <w:rPr>
                <w:rFonts w:ascii="Times New Roman" w:hAnsi="Times New Roman" w:cs="Times New Roman"/>
                <w:color w:val="#000000"/>
                <w:sz w:val="22"/>
                <w:szCs w:val="22"/>
              </w:rPr>
              <w:t> Экзамен по модулю "Теоретические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междисциплинарный практикум</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Учебно-методический комплекс школьного курса ОБЖ</w:t>
            </w:r>
          </w:p>
          <w:p>
            <w:pPr>
              <w:jc w:val="center"/>
              <w:spacing w:after="0" w:line="240" w:lineRule="auto"/>
              <w:rPr>
                <w:sz w:val="22"/>
                <w:szCs w:val="22"/>
              </w:rPr>
            </w:pPr>
            <w:r>
              <w:rPr>
                <w:rFonts w:ascii="Times New Roman" w:hAnsi="Times New Roman" w:cs="Times New Roman"/>
                <w:color w:val="#000000"/>
                <w:sz w:val="22"/>
                <w:szCs w:val="22"/>
              </w:rPr>
              <w:t> Экология техногенных территорий</w:t>
            </w:r>
          </w:p>
          <w:p>
            <w:pPr>
              <w:jc w:val="center"/>
              <w:spacing w:after="0" w:line="240" w:lineRule="auto"/>
              <w:rPr>
                <w:sz w:val="22"/>
                <w:szCs w:val="22"/>
              </w:rPr>
            </w:pPr>
            <w:r>
              <w:rPr>
                <w:rFonts w:ascii="Times New Roman" w:hAnsi="Times New Roman" w:cs="Times New Roman"/>
                <w:color w:val="#000000"/>
                <w:sz w:val="22"/>
                <w:szCs w:val="22"/>
              </w:rPr>
              <w:t> Методика работы с классным коллективом</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интерна</w:t>
            </w:r>
          </w:p>
          <w:p>
            <w:pPr>
              <w:jc w:val="center"/>
              <w:spacing w:after="0" w:line="240" w:lineRule="auto"/>
              <w:rPr>
                <w:sz w:val="22"/>
                <w:szCs w:val="22"/>
              </w:rPr>
            </w:pPr>
            <w:r>
              <w:rPr>
                <w:rFonts w:ascii="Times New Roman" w:hAnsi="Times New Roman" w:cs="Times New Roman"/>
                <w:color w:val="#000000"/>
                <w:sz w:val="22"/>
                <w:szCs w:val="22"/>
              </w:rPr>
              <w:t> Экзамен по модулю "Теория и практика</w:t>
            </w:r>
          </w:p>
          <w:p>
            <w:pPr>
              <w:jc w:val="center"/>
              <w:spacing w:after="0" w:line="240" w:lineRule="auto"/>
              <w:rPr>
                <w:sz w:val="22"/>
                <w:szCs w:val="22"/>
              </w:rPr>
            </w:pPr>
            <w:r>
              <w:rPr>
                <w:rFonts w:ascii="Times New Roman" w:hAnsi="Times New Roman" w:cs="Times New Roman"/>
                <w:color w:val="#000000"/>
                <w:sz w:val="22"/>
                <w:szCs w:val="22"/>
              </w:rPr>
              <w:t>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Организация научно-исследовательской работы по учебному предмету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обучающихся в области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Экзамен по модулю "Педагогическая интернатура"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Экстремизм, его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 профилактики экстремизма в молождежной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Профилактика аддиктивных форм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Меры по профилактике экстремизма.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9960.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tc>
      </w:tr>
      <w:tr>
        <w:trPr>
          <w:trHeight w:hRule="exact" w:val="251.0762"/>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Экстремизм является одной из наиболее сложных социально-политических проблем современного российского общества. Это связано с многообразием экстремистских проявлений, неоднозначными заявлениями лидеров страны, неоднородным составом организаций экстремистской направленности, которые оказывают деструктивное влияние на социально-политическую обстановку в стране.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Молодежь - та прослойка общества, на которую возлагают большие надежды, но нередко молодые люди теряются и не могут найти свое предназначение из-за многообразия информации, субкультур, неверных ценностных установок, фальшивых лозунгов и манящих призывов. Нередко девизом их жизни становится «не париться», такие понятия, как труд, долг родине, помощь близкому, безвозмездная помощь становятся старомодными.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Под влиянием социальных, политических, экономических и иных факторов в молодежной среде, наиболее подверженной деструктивному влиянию,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противодействия экстремизму и терроризму в Российской Федерации –</w:t>
            </w:r>
          </w:p>
          <w:p>
            <w:pPr>
              <w:jc w:val="both"/>
              <w:spacing w:after="0" w:line="240" w:lineRule="auto"/>
              <w:rPr>
                <w:sz w:val="24"/>
                <w:szCs w:val="24"/>
              </w:rPr>
            </w:pPr>
            <w:r>
              <w:rPr>
                <w:rFonts w:ascii="Times New Roman" w:hAnsi="Times New Roman" w:cs="Times New Roman"/>
                <w:color w:val="#000000"/>
                <w:sz w:val="24"/>
                <w:szCs w:val="24"/>
              </w:rPr>
              <w:t> это одна из наиболее важных задач обеспечения безопасности на государственном</w:t>
            </w:r>
          </w:p>
          <w:p>
            <w:pPr>
              <w:jc w:val="both"/>
              <w:spacing w:after="0" w:line="240" w:lineRule="auto"/>
              <w:rPr>
                <w:sz w:val="24"/>
                <w:szCs w:val="24"/>
              </w:rPr>
            </w:pPr>
            <w:r>
              <w:rPr>
                <w:rFonts w:ascii="Times New Roman" w:hAnsi="Times New Roman" w:cs="Times New Roman"/>
                <w:color w:val="#000000"/>
                <w:sz w:val="24"/>
                <w:szCs w:val="24"/>
              </w:rPr>
              <w:t> уровне. Как терроризм, так и экстремизм, имеют самую опасную форму проявления</w:t>
            </w:r>
          </w:p>
          <w:p>
            <w:pPr>
              <w:jc w:val="both"/>
              <w:spacing w:after="0" w:line="240" w:lineRule="auto"/>
              <w:rPr>
                <w:sz w:val="24"/>
                <w:szCs w:val="24"/>
              </w:rPr>
            </w:pPr>
            <w:r>
              <w:rPr>
                <w:rFonts w:ascii="Times New Roman" w:hAnsi="Times New Roman" w:cs="Times New Roman"/>
                <w:color w:val="#000000"/>
                <w:sz w:val="24"/>
                <w:szCs w:val="24"/>
              </w:rPr>
              <w:t> преступности, вследствие которой наступают тяжкие последствия, которые создают</w:t>
            </w:r>
          </w:p>
          <w:p>
            <w:pPr>
              <w:jc w:val="both"/>
              <w:spacing w:after="0" w:line="240" w:lineRule="auto"/>
              <w:rPr>
                <w:sz w:val="24"/>
                <w:szCs w:val="24"/>
              </w:rPr>
            </w:pPr>
            <w:r>
              <w:rPr>
                <w:rFonts w:ascii="Times New Roman" w:hAnsi="Times New Roman" w:cs="Times New Roman"/>
                <w:color w:val="#000000"/>
                <w:sz w:val="24"/>
                <w:szCs w:val="24"/>
              </w:rPr>
              <w:t> опасность гибели человека, препятствия, сопутствующие развитию общества и</w:t>
            </w:r>
          </w:p>
          <w:p>
            <w:pPr>
              <w:jc w:val="both"/>
              <w:spacing w:after="0" w:line="240" w:lineRule="auto"/>
              <w:rPr>
                <w:sz w:val="24"/>
                <w:szCs w:val="24"/>
              </w:rPr>
            </w:pPr>
            <w:r>
              <w:rPr>
                <w:rFonts w:ascii="Times New Roman" w:hAnsi="Times New Roman" w:cs="Times New Roman"/>
                <w:color w:val="#000000"/>
                <w:sz w:val="24"/>
                <w:szCs w:val="24"/>
              </w:rPr>
              <w:t> государства, причинения значительного имущественного ущерба, либо наступления</w:t>
            </w:r>
          </w:p>
          <w:p>
            <w:pPr>
              <w:jc w:val="both"/>
              <w:spacing w:after="0" w:line="240" w:lineRule="auto"/>
              <w:rPr>
                <w:sz w:val="24"/>
                <w:szCs w:val="24"/>
              </w:rPr>
            </w:pPr>
            <w:r>
              <w:rPr>
                <w:rFonts w:ascii="Times New Roman" w:hAnsi="Times New Roman" w:cs="Times New Roman"/>
                <w:color w:val="#000000"/>
                <w:sz w:val="24"/>
                <w:szCs w:val="24"/>
              </w:rPr>
              <w:t> иных тяжких последствий.</w:t>
            </w:r>
          </w:p>
        </w:tc>
      </w:tr>
      <w:tr>
        <w:trPr>
          <w:trHeight w:hRule="exact" w:val="180.9579"/>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873"/>
        </w:trPr>
        <w:tc>
          <w:tcPr>
            <w:tcW w:w="9654" w:type="dxa"/>
            <w:tcBorders>
</w:tcBorders>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Аддиктивное поведение (от англ. addiction — пагубная привычка) — одна из форм отклоняющегося, девиантного, поведения с формированием стремления к уходу от реальности. Такой уход происходит путем искусственного изменения своего психического состояния посредством приема некоторых психоактивных веществ. Приобретение и употребление этих веществ приводит к постоянной фиксации внимания на определенных видах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Среди самых распространенных в молодежной среде зависимостей можно выделить: алкогольную зависимость; курение (сигареты, электронные сигареты, вейпинг, кальяны); наркотическую зависимость; игровую зависимость (компьютерные и азартные игры, ставки на спорт).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Все подростки без исключения подвержены риску стать активными потребителями алкогольной и табачной продукции, оказаться втянутыми в употребление наркотиков, стать зависимыми от компьютерных или азартных игр, что в итоге может привести к девиантным формам поведения - совершению правонарушений и преступлений.</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чтобы в системе мер профилактики экстремизма обязательно присутствовали: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создание студенческих общественных организаций;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организация досуга молодежи;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присутствие воспитательного момента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личный пример;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развитие верных ценных установок и патриотизма;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использование ресурса имеющихся молодежных неформальных объединений, основой которых является стремление молодых людей организовать свой досуг, посредством творческого и физического совершенствования.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 отношению к таким явлениям, как экстремизм, требуются постоянная профилактика и сдерживание. Процесс формирования ценностных ориентаций играет в этом огромную роль.</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Исторические и психологические корни экстремизма. 2. Социальные и психологические причины подверженности молодежи экстремизму.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модели профилактики, основанной на усилении роли традиционных институтов</w:t>
            </w:r>
          </w:p>
          <w:p>
            <w:pPr>
              <w:jc w:val="left"/>
              <w:spacing w:after="0" w:line="240" w:lineRule="auto"/>
              <w:rPr>
                <w:sz w:val="24"/>
                <w:szCs w:val="24"/>
              </w:rPr>
            </w:pPr>
            <w:r>
              <w:rPr>
                <w:rFonts w:ascii="Times New Roman" w:hAnsi="Times New Roman" w:cs="Times New Roman"/>
                <w:color w:val="#000000"/>
                <w:sz w:val="24"/>
                <w:szCs w:val="24"/>
              </w:rPr>
              <w:t> социализации. 2. Преимущества модели профилактической работы, ориентированной на снижение деструктивного</w:t>
            </w:r>
          </w:p>
          <w:p>
            <w:pPr>
              <w:jc w:val="left"/>
              <w:spacing w:after="0" w:line="240" w:lineRule="auto"/>
              <w:rPr>
                <w:sz w:val="24"/>
                <w:szCs w:val="24"/>
              </w:rPr>
            </w:pPr>
            <w:r>
              <w:rPr>
                <w:rFonts w:ascii="Times New Roman" w:hAnsi="Times New Roman" w:cs="Times New Roman"/>
                <w:color w:val="#000000"/>
                <w:sz w:val="24"/>
                <w:szCs w:val="24"/>
              </w:rPr>
              <w:t> потенциала молодёжных субкультур.</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зависимого поведения. 2. Аддиктивное поведение, его особенности. 3. Социальные причины зависимого поведения. 4. Психологические причины зависимого поведения. 5. Девиантное поведение, его особенности. 6. Делинквентное поведение, его особенности.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51.33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мер по профилактике экстремизма. 2. Меры по профилактике экстремизма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зависимого поведения, имеющие спортивно-воспитательную направленность. 3. Меры по профилактике экстремизма и зависимого поведения, имеющие героико-патриотическую направленность.</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основы профилактики экстремизма и зависимых форм поведения в молодежной среде»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https://urait.ru/bcode/446879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здоровьесбережение</w:t>
            </w:r>
            <w:r>
              <w:rPr/>
              <w:t xml:space="preserve"> </w:t>
            </w:r>
            <w:r>
              <w:rPr>
                <w:rFonts w:ascii="Times New Roman" w:hAnsi="Times New Roman" w:cs="Times New Roman"/>
                <w:color w:val="#000000"/>
                <w:sz w:val="24"/>
                <w:szCs w:val="24"/>
              </w:rPr>
              <w:t>учащейся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http://www.iprbookshop.ru/33862.html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http://www.iprbookshop.ru/33860.html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Филанковский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http://www.iprbookshop.ru/33859.html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36.1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2024-2025_ФГОС3++2024_Бак-ОФО-ПО(БЖД)(24)_plx_Правовые основы профилактики экстремизма и зависимых форм поведения в молодежной среде</dc:title>
  <dc:creator>FastReport.NET</dc:creator>
</cp:coreProperties>
</file>